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3BD9" w14:textId="77777777" w:rsidR="006D6095" w:rsidRDefault="00FE7061" w:rsidP="00FE7061">
      <w:pPr>
        <w:jc w:val="center"/>
      </w:pPr>
      <w:r>
        <w:rPr>
          <w:noProof/>
        </w:rPr>
        <w:drawing>
          <wp:inline distT="0" distB="0" distL="0" distR="0" wp14:anchorId="738DC467" wp14:editId="07777777">
            <wp:extent cx="2349865" cy="962025"/>
            <wp:effectExtent l="19050" t="0" r="0" b="0"/>
            <wp:docPr id="1" name="Picture 0" descr="OPS_SB_To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_SB_TopLogo.jpg"/>
                    <pic:cNvPicPr/>
                  </pic:nvPicPr>
                  <pic:blipFill>
                    <a:blip r:embed="rId5" cstate="print"/>
                    <a:srcRect r="79306" b="7576"/>
                    <a:stretch>
                      <a:fillRect/>
                    </a:stretch>
                  </pic:blipFill>
                  <pic:spPr>
                    <a:xfrm>
                      <a:off x="0" y="0"/>
                      <a:ext cx="234986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7773" w14:textId="77777777" w:rsidR="00FE7061" w:rsidRDefault="007716A1" w:rsidP="00FE7061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Secondary School </w:t>
      </w:r>
      <w:r w:rsidR="00C52657" w:rsidRPr="00C52657">
        <w:rPr>
          <w:noProof/>
          <w:sz w:val="44"/>
          <w:szCs w:val="44"/>
        </w:rPr>
        <w:t>Sports Medicine</w:t>
      </w:r>
    </w:p>
    <w:p w14:paraId="23107077" w14:textId="77777777" w:rsidR="00C52657" w:rsidRDefault="00C52657" w:rsidP="00FE7061">
      <w:pPr>
        <w:jc w:val="center"/>
        <w:rPr>
          <w:b/>
          <w:sz w:val="28"/>
          <w:szCs w:val="28"/>
        </w:rPr>
      </w:pPr>
      <w:r w:rsidRPr="00C52657">
        <w:rPr>
          <w:b/>
          <w:sz w:val="28"/>
          <w:szCs w:val="28"/>
        </w:rPr>
        <w:t>Return To Learn Protocol</w:t>
      </w:r>
    </w:p>
    <w:p w14:paraId="678B1DBC" w14:textId="77777777" w:rsidR="00FE32A1" w:rsidRPr="001B716F" w:rsidRDefault="00FE32A1" w:rsidP="00FE32A1">
      <w:pPr>
        <w:rPr>
          <w:sz w:val="24"/>
          <w:szCs w:val="24"/>
        </w:rPr>
      </w:pPr>
      <w:r w:rsidRPr="001B716F">
        <w:rPr>
          <w:sz w:val="24"/>
          <w:szCs w:val="24"/>
        </w:rPr>
        <w:t xml:space="preserve">The OPS secondary school sports medicine return to learn protocol is the fulfillment of the </w:t>
      </w:r>
      <w:r w:rsidR="001A424B">
        <w:rPr>
          <w:sz w:val="24"/>
          <w:szCs w:val="24"/>
        </w:rPr>
        <w:t xml:space="preserve">academic portion of the </w:t>
      </w:r>
      <w:r w:rsidRPr="001B716F">
        <w:rPr>
          <w:sz w:val="24"/>
          <w:szCs w:val="24"/>
        </w:rPr>
        <w:t>Nebraska Concussion Awareness Act which “recognize(s) that students who have sustained a concussion may need informal or formal accommodations, modifications of curriculum, and monitoring by medical or academic staff until the student is fully recovered.”</w:t>
      </w:r>
      <w:r w:rsidR="001B716F" w:rsidRPr="001B716F">
        <w:rPr>
          <w:sz w:val="24"/>
          <w:szCs w:val="24"/>
        </w:rPr>
        <w:t xml:space="preserve">  To ensure this</w:t>
      </w:r>
      <w:r w:rsidR="001A424B">
        <w:rPr>
          <w:sz w:val="24"/>
          <w:szCs w:val="24"/>
        </w:rPr>
        <w:t xml:space="preserve"> injury is treated </w:t>
      </w:r>
      <w:r w:rsidR="00147CFE">
        <w:rPr>
          <w:sz w:val="24"/>
          <w:szCs w:val="24"/>
        </w:rPr>
        <w:t xml:space="preserve">correctly and efficiently, </w:t>
      </w:r>
      <w:r w:rsidR="001A424B">
        <w:rPr>
          <w:sz w:val="24"/>
          <w:szCs w:val="24"/>
        </w:rPr>
        <w:t>a multidisciplina</w:t>
      </w:r>
      <w:r w:rsidR="00147CFE">
        <w:rPr>
          <w:sz w:val="24"/>
          <w:szCs w:val="24"/>
        </w:rPr>
        <w:t>ry</w:t>
      </w:r>
      <w:r w:rsidR="001B716F" w:rsidRPr="001B716F">
        <w:rPr>
          <w:sz w:val="24"/>
          <w:szCs w:val="24"/>
        </w:rPr>
        <w:t xml:space="preserve"> Concussion Management Team (CMT) has been established at each secondary school within the district.  The members of the CMT may be, but are not limited to:</w:t>
      </w:r>
    </w:p>
    <w:p w14:paraId="560C553B" w14:textId="77777777" w:rsidR="001B716F" w:rsidRPr="001B716F" w:rsidRDefault="001B716F" w:rsidP="00FE32A1">
      <w:pPr>
        <w:rPr>
          <w:sz w:val="24"/>
          <w:szCs w:val="24"/>
        </w:rPr>
      </w:pPr>
      <w:r w:rsidRPr="001B716F">
        <w:rPr>
          <w:sz w:val="24"/>
          <w:szCs w:val="24"/>
        </w:rPr>
        <w:tab/>
      </w:r>
      <w:r w:rsidRPr="001B716F">
        <w:rPr>
          <w:sz w:val="24"/>
          <w:szCs w:val="24"/>
        </w:rPr>
        <w:tab/>
        <w:t>Athletic Trainer(s)</w:t>
      </w:r>
    </w:p>
    <w:p w14:paraId="3BA4C4C8" w14:textId="77777777" w:rsidR="001B716F" w:rsidRPr="001B716F" w:rsidRDefault="001B716F" w:rsidP="00FE32A1">
      <w:pPr>
        <w:rPr>
          <w:sz w:val="24"/>
          <w:szCs w:val="24"/>
        </w:rPr>
      </w:pPr>
      <w:r w:rsidRPr="001B716F">
        <w:rPr>
          <w:sz w:val="24"/>
          <w:szCs w:val="24"/>
        </w:rPr>
        <w:tab/>
      </w:r>
      <w:r w:rsidRPr="001B716F">
        <w:rPr>
          <w:sz w:val="24"/>
          <w:szCs w:val="24"/>
        </w:rPr>
        <w:tab/>
        <w:t>School Nurse</w:t>
      </w:r>
    </w:p>
    <w:p w14:paraId="564D23FB" w14:textId="77777777" w:rsidR="001B716F" w:rsidRPr="001B716F" w:rsidRDefault="001B716F" w:rsidP="00FE32A1">
      <w:pPr>
        <w:rPr>
          <w:sz w:val="24"/>
          <w:szCs w:val="24"/>
        </w:rPr>
      </w:pPr>
      <w:r w:rsidRPr="001B716F">
        <w:rPr>
          <w:sz w:val="24"/>
          <w:szCs w:val="24"/>
        </w:rPr>
        <w:tab/>
      </w:r>
      <w:r w:rsidRPr="001B716F">
        <w:rPr>
          <w:sz w:val="24"/>
          <w:szCs w:val="24"/>
        </w:rPr>
        <w:tab/>
        <w:t>School Counselor</w:t>
      </w:r>
    </w:p>
    <w:p w14:paraId="5B054CE6" w14:textId="77777777" w:rsidR="001B716F" w:rsidRPr="001B716F" w:rsidRDefault="001B716F" w:rsidP="00FE32A1">
      <w:pPr>
        <w:rPr>
          <w:sz w:val="24"/>
          <w:szCs w:val="24"/>
        </w:rPr>
      </w:pPr>
      <w:r w:rsidRPr="001B716F">
        <w:rPr>
          <w:sz w:val="24"/>
          <w:szCs w:val="24"/>
        </w:rPr>
        <w:tab/>
      </w:r>
      <w:r w:rsidRPr="001B716F">
        <w:rPr>
          <w:sz w:val="24"/>
          <w:szCs w:val="24"/>
        </w:rPr>
        <w:tab/>
        <w:t>Athletic Director</w:t>
      </w:r>
    </w:p>
    <w:p w14:paraId="2D542EFC" w14:textId="77777777" w:rsidR="001B716F" w:rsidRPr="001B716F" w:rsidRDefault="001B716F" w:rsidP="00FE32A1">
      <w:pPr>
        <w:rPr>
          <w:sz w:val="24"/>
          <w:szCs w:val="24"/>
        </w:rPr>
      </w:pPr>
      <w:r w:rsidRPr="001B716F">
        <w:rPr>
          <w:sz w:val="24"/>
          <w:szCs w:val="24"/>
        </w:rPr>
        <w:tab/>
      </w:r>
      <w:r w:rsidRPr="001B716F">
        <w:rPr>
          <w:sz w:val="24"/>
          <w:szCs w:val="24"/>
        </w:rPr>
        <w:tab/>
        <w:t>Assistant Athletic Director(s)</w:t>
      </w:r>
    </w:p>
    <w:p w14:paraId="001B7588" w14:textId="77777777" w:rsidR="001B716F" w:rsidRPr="001B716F" w:rsidRDefault="001B716F" w:rsidP="00FE32A1">
      <w:pPr>
        <w:rPr>
          <w:sz w:val="24"/>
          <w:szCs w:val="24"/>
        </w:rPr>
      </w:pPr>
      <w:r w:rsidRPr="001B716F">
        <w:rPr>
          <w:sz w:val="24"/>
          <w:szCs w:val="24"/>
        </w:rPr>
        <w:tab/>
      </w:r>
      <w:r w:rsidRPr="001B716F">
        <w:rPr>
          <w:sz w:val="24"/>
          <w:szCs w:val="24"/>
        </w:rPr>
        <w:tab/>
        <w:t>Administrator for Attendance</w:t>
      </w:r>
    </w:p>
    <w:p w14:paraId="3C230A20" w14:textId="77777777" w:rsidR="001B716F" w:rsidRDefault="001B716F" w:rsidP="00FE32A1">
      <w:pPr>
        <w:rPr>
          <w:sz w:val="24"/>
          <w:szCs w:val="24"/>
        </w:rPr>
      </w:pPr>
      <w:r w:rsidRPr="001B716F">
        <w:rPr>
          <w:sz w:val="24"/>
          <w:szCs w:val="24"/>
        </w:rPr>
        <w:tab/>
      </w:r>
      <w:r w:rsidRPr="001B716F">
        <w:rPr>
          <w:sz w:val="24"/>
          <w:szCs w:val="24"/>
        </w:rPr>
        <w:tab/>
        <w:t>SAT/IEP Coordinator(s)</w:t>
      </w:r>
    </w:p>
    <w:p w14:paraId="52935F6A" w14:textId="44BF3A61" w:rsidR="00147CFE" w:rsidRPr="001B716F" w:rsidRDefault="28D2F300" w:rsidP="28D2F300">
      <w:pPr>
        <w:rPr>
          <w:sz w:val="24"/>
          <w:szCs w:val="24"/>
        </w:rPr>
      </w:pPr>
      <w:r w:rsidRPr="28D2F300">
        <w:rPr>
          <w:sz w:val="24"/>
          <w:szCs w:val="24"/>
        </w:rPr>
        <w:t xml:space="preserve">Each person involved with the team is assigned a role that utilizes their specific talents and job description </w:t>
      </w:r>
      <w:proofErr w:type="gramStart"/>
      <w:r w:rsidRPr="28D2F300">
        <w:rPr>
          <w:sz w:val="24"/>
          <w:szCs w:val="24"/>
        </w:rPr>
        <w:t>in order to</w:t>
      </w:r>
      <w:proofErr w:type="gramEnd"/>
      <w:r w:rsidRPr="28D2F300">
        <w:rPr>
          <w:sz w:val="24"/>
          <w:szCs w:val="24"/>
        </w:rPr>
        <w:t xml:space="preserve"> ensure students who have suffered a concussion are being monitored effectively and assisted in safely and successfully returning to full academic participation.  In the case that full participation is not possible </w:t>
      </w:r>
      <w:proofErr w:type="gramStart"/>
      <w:r w:rsidRPr="28D2F300">
        <w:rPr>
          <w:sz w:val="24"/>
          <w:szCs w:val="24"/>
        </w:rPr>
        <w:t>as a result of</w:t>
      </w:r>
      <w:proofErr w:type="gramEnd"/>
      <w:r w:rsidRPr="28D2F300">
        <w:rPr>
          <w:sz w:val="24"/>
          <w:szCs w:val="24"/>
        </w:rPr>
        <w:t xml:space="preserve"> a student's injury, there will also be people on the team who can assist in modifying the academic work to fit the new needs of the student.  </w:t>
      </w:r>
    </w:p>
    <w:p w14:paraId="4808C3E2" w14:textId="0D474F42" w:rsidR="28D2F300" w:rsidRDefault="28D2F300" w:rsidP="28D2F300">
      <w:pPr>
        <w:rPr>
          <w:sz w:val="24"/>
          <w:szCs w:val="24"/>
        </w:rPr>
      </w:pPr>
      <w:r w:rsidRPr="28D2F300">
        <w:rPr>
          <w:sz w:val="24"/>
          <w:szCs w:val="24"/>
        </w:rPr>
        <w:t>When a student is diagnosed with a concussion, the student will be placed in the OPS secondary school concussion management protocol.  The protocol is as follows:</w:t>
      </w:r>
    </w:p>
    <w:p w14:paraId="45E8B956" w14:textId="17EB7E58" w:rsidR="00C52657" w:rsidRDefault="28D2F300" w:rsidP="28D2F30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8D2F300">
        <w:rPr>
          <w:sz w:val="24"/>
          <w:szCs w:val="24"/>
        </w:rPr>
        <w:t>Diagnosis of concussion occurs.</w:t>
      </w:r>
    </w:p>
    <w:p w14:paraId="176DE4FB" w14:textId="4D174D67" w:rsidR="0033563A" w:rsidRPr="0033563A" w:rsidRDefault="28D2F300" w:rsidP="28D2F30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8D2F300">
        <w:rPr>
          <w:sz w:val="24"/>
          <w:szCs w:val="24"/>
        </w:rPr>
        <w:lastRenderedPageBreak/>
        <w:t>Parents are notified and at-home instructions are given.</w:t>
      </w:r>
    </w:p>
    <w:p w14:paraId="226B35AE" w14:textId="647AB838" w:rsidR="00FE32A1" w:rsidRPr="0033563A" w:rsidRDefault="28D2F300" w:rsidP="28D2F30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8D2F300">
        <w:rPr>
          <w:sz w:val="24"/>
          <w:szCs w:val="24"/>
        </w:rPr>
        <w:t>Concussion Management Team (CMT) is notified via email.  Concussion/Student ID # will be in the subject.  Designated staff within the CMT will notify teachers.</w:t>
      </w:r>
    </w:p>
    <w:p w14:paraId="480300B0" w14:textId="77777777" w:rsidR="00E7768E" w:rsidRPr="00E7768E" w:rsidRDefault="28D2F300" w:rsidP="00E7768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8D2F300">
        <w:rPr>
          <w:sz w:val="24"/>
          <w:szCs w:val="24"/>
        </w:rPr>
        <w:t>CMT documents initial symptoms, both emotional and behavioral</w:t>
      </w:r>
      <w:r w:rsidRPr="28D2F300">
        <w:rPr>
          <w:b/>
          <w:bCs/>
          <w:sz w:val="24"/>
          <w:szCs w:val="24"/>
        </w:rPr>
        <w:t xml:space="preserve">. </w:t>
      </w:r>
    </w:p>
    <w:p w14:paraId="1E009C16" w14:textId="2CCE8254" w:rsidR="00E7768E" w:rsidRPr="00E7768E" w:rsidRDefault="28D2F300" w:rsidP="28D2F30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8D2F300">
        <w:rPr>
          <w:sz w:val="24"/>
          <w:szCs w:val="24"/>
        </w:rPr>
        <w:t>CMT monitors the student’s progress during their recovery and communicates within Office 365 and/or Infinite Campus</w:t>
      </w:r>
    </w:p>
    <w:p w14:paraId="5D60ECC5" w14:textId="4412B302" w:rsidR="28D2F300" w:rsidRDefault="28D2F300" w:rsidP="28D2F30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8D2F300">
        <w:t xml:space="preserve">A graduated return to school strategy shall be followed to assist in safely and successfully returning the student to full participation in academics.  An example of the strategy is as follows: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805"/>
        <w:gridCol w:w="2790"/>
        <w:gridCol w:w="3417"/>
        <w:gridCol w:w="2338"/>
      </w:tblGrid>
      <w:tr w:rsidR="28D2F300" w14:paraId="1F650D23" w14:textId="77777777" w:rsidTr="00DB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0F66F4F" w14:textId="7300DD4A" w:rsidR="28D2F300" w:rsidRDefault="28D2F300">
            <w:r w:rsidRPr="28D2F300">
              <w:t>Stage</w:t>
            </w:r>
          </w:p>
        </w:tc>
        <w:tc>
          <w:tcPr>
            <w:tcW w:w="2790" w:type="dxa"/>
          </w:tcPr>
          <w:p w14:paraId="64BF4325" w14:textId="60467C9E" w:rsidR="28D2F300" w:rsidRDefault="28D2F3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D2F300">
              <w:t>Aim</w:t>
            </w:r>
          </w:p>
        </w:tc>
        <w:tc>
          <w:tcPr>
            <w:tcW w:w="3417" w:type="dxa"/>
          </w:tcPr>
          <w:p w14:paraId="24777D3A" w14:textId="560E0E02" w:rsidR="28D2F300" w:rsidRDefault="28D2F3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D2F300">
              <w:t>Activity</w:t>
            </w:r>
          </w:p>
        </w:tc>
        <w:tc>
          <w:tcPr>
            <w:tcW w:w="2338" w:type="dxa"/>
          </w:tcPr>
          <w:p w14:paraId="731E88A0" w14:textId="2B67CB76" w:rsidR="28D2F300" w:rsidRDefault="28D2F3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D2F300">
              <w:t>Goal of each step</w:t>
            </w:r>
          </w:p>
        </w:tc>
      </w:tr>
      <w:tr w:rsidR="28D2F300" w14:paraId="5D75AAD7" w14:textId="77777777" w:rsidTr="00DB2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F7E5678" w14:textId="7E423571" w:rsidR="28D2F300" w:rsidRDefault="28D2F300">
            <w:r>
              <w:t>1</w:t>
            </w:r>
          </w:p>
        </w:tc>
        <w:tc>
          <w:tcPr>
            <w:tcW w:w="2790" w:type="dxa"/>
          </w:tcPr>
          <w:p w14:paraId="54CEAA0C" w14:textId="02E9277B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Daily activities </w:t>
            </w:r>
            <w:r w:rsidR="00DB2DC9">
              <w:t>that do not result in more than a mild exacerbation * of symptoms related to the current concussion</w:t>
            </w:r>
          </w:p>
        </w:tc>
        <w:tc>
          <w:tcPr>
            <w:tcW w:w="3417" w:type="dxa"/>
          </w:tcPr>
          <w:p w14:paraId="183FCB3E" w14:textId="7D3CDCE4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Typical activities </w:t>
            </w:r>
            <w:r w:rsidR="00DB2DC9">
              <w:t>during the day (</w:t>
            </w:r>
            <w:proofErr w:type="gramStart"/>
            <w:r w:rsidR="00DB2DC9">
              <w:t>e.g.</w:t>
            </w:r>
            <w:proofErr w:type="gramEnd"/>
            <w:r w:rsidR="00DB2DC9">
              <w:t xml:space="preserve"> reading) while minimizing screen time. </w:t>
            </w:r>
            <w:r>
              <w:t>Start with 5–15 min at a time and gradually build up</w:t>
            </w:r>
          </w:p>
        </w:tc>
        <w:tc>
          <w:tcPr>
            <w:tcW w:w="2338" w:type="dxa"/>
          </w:tcPr>
          <w:p w14:paraId="50114BC4" w14:textId="32C4C5E8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Gradual return to typical activities</w:t>
            </w:r>
          </w:p>
        </w:tc>
      </w:tr>
      <w:tr w:rsidR="28D2F300" w14:paraId="2CA15D55" w14:textId="77777777" w:rsidTr="00DB2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FA4055E" w14:textId="57342BE1" w:rsidR="28D2F300" w:rsidRDefault="28D2F300">
            <w:r>
              <w:t>2</w:t>
            </w:r>
          </w:p>
        </w:tc>
        <w:tc>
          <w:tcPr>
            <w:tcW w:w="2790" w:type="dxa"/>
          </w:tcPr>
          <w:p w14:paraId="17CAEBA6" w14:textId="244EBD82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activities</w:t>
            </w:r>
          </w:p>
        </w:tc>
        <w:tc>
          <w:tcPr>
            <w:tcW w:w="3417" w:type="dxa"/>
          </w:tcPr>
          <w:p w14:paraId="77B17A91" w14:textId="0E86D383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Homework, reading or other cognitive activities outside of the classroom</w:t>
            </w:r>
          </w:p>
        </w:tc>
        <w:tc>
          <w:tcPr>
            <w:tcW w:w="2338" w:type="dxa"/>
          </w:tcPr>
          <w:p w14:paraId="2430EA35" w14:textId="72F18186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 tolerance to cognitive work</w:t>
            </w:r>
          </w:p>
        </w:tc>
      </w:tr>
      <w:tr w:rsidR="28D2F300" w14:paraId="7A2F76DE" w14:textId="77777777" w:rsidTr="00DB2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C194271" w14:textId="75AA675A" w:rsidR="28D2F300" w:rsidRDefault="28D2F300">
            <w:r>
              <w:t>3</w:t>
            </w:r>
          </w:p>
        </w:tc>
        <w:tc>
          <w:tcPr>
            <w:tcW w:w="2790" w:type="dxa"/>
          </w:tcPr>
          <w:p w14:paraId="46AF58D8" w14:textId="62C0ADD3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Return to school part-time</w:t>
            </w:r>
          </w:p>
        </w:tc>
        <w:tc>
          <w:tcPr>
            <w:tcW w:w="3417" w:type="dxa"/>
          </w:tcPr>
          <w:p w14:paraId="33151A2C" w14:textId="53E1AA2C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Gradual introduction of schoolwork. May need to start with a partial school day or with increased breaks during the day</w:t>
            </w:r>
          </w:p>
        </w:tc>
        <w:tc>
          <w:tcPr>
            <w:tcW w:w="2338" w:type="dxa"/>
          </w:tcPr>
          <w:p w14:paraId="5A96A265" w14:textId="04232AAF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 academic activities</w:t>
            </w:r>
          </w:p>
        </w:tc>
      </w:tr>
      <w:tr w:rsidR="28D2F300" w14:paraId="1BAA7911" w14:textId="77777777" w:rsidTr="00DB2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F0AA41A" w14:textId="1C0E9D34" w:rsidR="28D2F300" w:rsidRDefault="28D2F300">
            <w:r>
              <w:t>4</w:t>
            </w:r>
          </w:p>
        </w:tc>
        <w:tc>
          <w:tcPr>
            <w:tcW w:w="2790" w:type="dxa"/>
          </w:tcPr>
          <w:p w14:paraId="2E2B6158" w14:textId="721CD31F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Return to school full time</w:t>
            </w:r>
          </w:p>
        </w:tc>
        <w:tc>
          <w:tcPr>
            <w:tcW w:w="3417" w:type="dxa"/>
          </w:tcPr>
          <w:p w14:paraId="2DAEC9BC" w14:textId="64EC8039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Gradually progress school activities until a full day can be tolerated</w:t>
            </w:r>
          </w:p>
        </w:tc>
        <w:tc>
          <w:tcPr>
            <w:tcW w:w="2338" w:type="dxa"/>
          </w:tcPr>
          <w:p w14:paraId="7087993F" w14:textId="09579E06" w:rsidR="28D2F300" w:rsidRDefault="28D2F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Return to full academic activities and catch up on missed work</w:t>
            </w:r>
          </w:p>
        </w:tc>
      </w:tr>
    </w:tbl>
    <w:p w14:paraId="70A20F67" w14:textId="77777777" w:rsidR="00112260" w:rsidRDefault="00DB2DC9" w:rsidP="28D2F3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</w:t>
      </w:r>
      <w:r w:rsidR="00112260">
        <w:rPr>
          <w:sz w:val="24"/>
          <w:szCs w:val="24"/>
        </w:rPr>
        <w:t>: Following an initial period of relative rest (24-48 hours following an injury at step 1), athletes can begin a gradual and incremental increase in their cognitive load. Progression through the strategy for students should be slowed when there is more than a mild and brief symptom exacerbation.</w:t>
      </w:r>
    </w:p>
    <w:p w14:paraId="149B4D37" w14:textId="7BBC3BCE" w:rsidR="28D2F300" w:rsidRDefault="00112260" w:rsidP="28D2F3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*Mild and brief exacerbation of symptoms is defined as an increase of no more than 2 points on a </w:t>
      </w:r>
      <w:proofErr w:type="gramStart"/>
      <w:r>
        <w:rPr>
          <w:sz w:val="24"/>
          <w:szCs w:val="24"/>
        </w:rPr>
        <w:t>0-10 point</w:t>
      </w:r>
      <w:proofErr w:type="gramEnd"/>
      <w:r>
        <w:rPr>
          <w:sz w:val="24"/>
          <w:szCs w:val="24"/>
        </w:rPr>
        <w:t xml:space="preserve"> scale for less than an hour when compared to the baseline value reported prior to cognitive activity.  </w:t>
      </w:r>
    </w:p>
    <w:p w14:paraId="25C4779E" w14:textId="21817B49" w:rsidR="00E7768E" w:rsidRPr="00CB4024" w:rsidRDefault="00CB4024" w:rsidP="00CB402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28D2F300" w:rsidRPr="28D2F300">
        <w:rPr>
          <w:sz w:val="24"/>
          <w:szCs w:val="24"/>
        </w:rPr>
        <w:t xml:space="preserve">return to </w:t>
      </w:r>
      <w:r>
        <w:rPr>
          <w:sz w:val="24"/>
          <w:szCs w:val="24"/>
        </w:rPr>
        <w:t>sport</w:t>
      </w:r>
      <w:r w:rsidR="28D2F300" w:rsidRPr="28D2F300">
        <w:rPr>
          <w:sz w:val="24"/>
          <w:szCs w:val="24"/>
        </w:rPr>
        <w:t xml:space="preserve"> progression</w:t>
      </w:r>
      <w:r>
        <w:rPr>
          <w:sz w:val="24"/>
          <w:szCs w:val="24"/>
        </w:rPr>
        <w:t xml:space="preserve"> allowing physical activity</w:t>
      </w:r>
      <w:r w:rsidR="28D2F300" w:rsidRPr="28D2F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 be completed concurrently with the return to learn progression. However, any member of the CMT reserves the right to communicate red flags that can halt return to sport. </w:t>
      </w:r>
    </w:p>
    <w:p w14:paraId="3AFEB5DF" w14:textId="66AF1184" w:rsidR="28D2F300" w:rsidRDefault="28D2F300" w:rsidP="28D2F300">
      <w:pPr>
        <w:spacing w:line="360" w:lineRule="auto"/>
        <w:rPr>
          <w:sz w:val="24"/>
          <w:szCs w:val="24"/>
        </w:rPr>
      </w:pPr>
    </w:p>
    <w:sectPr w:rsidR="28D2F300" w:rsidSect="006D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17A6"/>
    <w:multiLevelType w:val="hybridMultilevel"/>
    <w:tmpl w:val="48FA1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8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61"/>
    <w:rsid w:val="00112260"/>
    <w:rsid w:val="00147CFE"/>
    <w:rsid w:val="001A424B"/>
    <w:rsid w:val="001B716F"/>
    <w:rsid w:val="0033563A"/>
    <w:rsid w:val="004134E7"/>
    <w:rsid w:val="00590485"/>
    <w:rsid w:val="0062026C"/>
    <w:rsid w:val="006347C8"/>
    <w:rsid w:val="0065547E"/>
    <w:rsid w:val="006D6095"/>
    <w:rsid w:val="007716A1"/>
    <w:rsid w:val="00810741"/>
    <w:rsid w:val="00A84729"/>
    <w:rsid w:val="00BE5895"/>
    <w:rsid w:val="00C52657"/>
    <w:rsid w:val="00CB4024"/>
    <w:rsid w:val="00DB2DC9"/>
    <w:rsid w:val="00E7768E"/>
    <w:rsid w:val="00EC47CE"/>
    <w:rsid w:val="00F07DED"/>
    <w:rsid w:val="00F45E4D"/>
    <w:rsid w:val="00F83BE4"/>
    <w:rsid w:val="00FE32A1"/>
    <w:rsid w:val="00FE7061"/>
    <w:rsid w:val="28D2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B46F"/>
  <w15:docId w15:val="{6095A1CC-563C-4CFD-B553-3190B4A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65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epashob049</dc:creator>
  <cp:keywords/>
  <dc:description/>
  <cp:lastModifiedBy>Joshua Nichter</cp:lastModifiedBy>
  <cp:revision>2</cp:revision>
  <dcterms:created xsi:type="dcterms:W3CDTF">2023-07-31T19:42:00Z</dcterms:created>
  <dcterms:modified xsi:type="dcterms:W3CDTF">2023-07-31T19:42:00Z</dcterms:modified>
</cp:coreProperties>
</file>